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40" w:lineRule="auto" w:after="60"/>
        <w:jc w:val="right"/>
      </w:pPr>
      <w:r>
        <w:rPr>
          <w:rFonts w:ascii="Times New Roman" w:hAnsi="Times New Roman" w:eastAsia="Times New Roman"/>
          <w:b w:val="0"/>
          <w:sz w:val="24"/>
        </w:rPr>
        <w:t>УТВЕРЖДАЮ</w:t>
      </w:r>
    </w:p>
    <w:p>
      <w:pPr>
        <w:spacing w:line="240" w:lineRule="auto" w:after="60"/>
        <w:jc w:val="right"/>
      </w:pPr>
      <w:r>
        <w:rPr>
          <w:rFonts w:ascii="Times New Roman" w:hAnsi="Times New Roman" w:eastAsia="Times New Roman"/>
          <w:b w:val="0"/>
          <w:sz w:val="24"/>
        </w:rPr>
        <w:t>Индивидуальный предприниматель</w:t>
      </w:r>
    </w:p>
    <w:p>
      <w:pPr>
        <w:spacing w:line="240" w:lineRule="auto" w:after="60"/>
        <w:jc w:val="right"/>
      </w:pPr>
      <w:r>
        <w:rPr>
          <w:rFonts w:ascii="Times New Roman" w:hAnsi="Times New Roman" w:eastAsia="Times New Roman"/>
          <w:b w:val="0"/>
          <w:sz w:val="24"/>
        </w:rPr>
        <w:t>Королёва Юлия Игоревна</w:t>
      </w:r>
    </w:p>
    <w:p>
      <w:pPr>
        <w:spacing w:line="240" w:lineRule="auto" w:after="0" w:before="0"/>
        <w:jc w:val="right"/>
      </w:pPr>
      <w:r>
        <w:rPr>
          <w:rFonts w:ascii="Times New Roman" w:hAnsi="Times New Roman" w:eastAsia="Times New Roman"/>
          <w:b w:val="0"/>
          <w:sz w:val="24"/>
        </w:rPr>
      </w:r>
      <w:r>
        <w:drawing>
          <wp:inline xmlns:a="http://schemas.openxmlformats.org/drawingml/2006/main" xmlns:pic="http://schemas.openxmlformats.org/drawingml/2006/picture">
            <wp:extent cx="2232000" cy="154898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ignature_stamp_overlay_40mm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232000" cy="1548984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/>
          <w:sz w:val="24"/>
        </w:rPr>
        <w:t xml:space="preserve">  / Ю.И. Королёва /</w:t>
      </w:r>
    </w:p>
    <w:p>
      <w:pPr>
        <w:spacing w:line="240" w:lineRule="auto" w:after="60"/>
        <w:jc w:val="right"/>
      </w:pPr>
      <w:r>
        <w:rPr>
          <w:rFonts w:ascii="Times New Roman" w:hAnsi="Times New Roman" w:eastAsia="Times New Roman"/>
          <w:b w:val="0"/>
          <w:sz w:val="24"/>
        </w:rPr>
      </w:r>
      <w:r>
        <w:rPr>
          <w:rFonts w:ascii="Times New Roman" w:hAnsi="Times New Roman" w:eastAsia="Times New Roman"/>
          <w:sz w:val="24"/>
        </w:rPr>
        <w:t>Приказ от 11 сентября 2026 г. № 2</w:t>
      </w:r>
    </w:p>
    <w:p>
      <w:pPr>
        <w:spacing w:line="240" w:lineRule="auto" w:after="60"/>
        <w:jc w:val="center"/>
      </w:pPr>
      <w:r>
        <w:rPr>
          <w:rFonts w:ascii="Times New Roman" w:hAnsi="Times New Roman" w:eastAsia="Times New Roman"/>
          <w:b w:val="0"/>
          <w:sz w:val="24"/>
        </w:rPr>
      </w:r>
      <w:r>
        <w:rPr>
          <w:rFonts w:ascii="Times New Roman" w:hAnsi="Times New Roman" w:eastAsia="Times New Roman"/>
          <w:b/>
          <w:sz w:val="28"/>
        </w:rPr>
        <w:t>ДОПОЛНИТЕЛЬНАЯ ОБЩЕОБРАЗОВАТЕЛЬНАЯ</w:t>
      </w:r>
    </w:p>
    <w:p>
      <w:pPr>
        <w:spacing w:line="240" w:lineRule="auto" w:after="60"/>
        <w:jc w:val="center"/>
      </w:pPr>
      <w:r>
        <w:rPr>
          <w:rFonts w:ascii="Times New Roman" w:hAnsi="Times New Roman" w:eastAsia="Times New Roman"/>
          <w:b w:val="0"/>
          <w:sz w:val="24"/>
        </w:rPr>
      </w:r>
      <w:r>
        <w:rPr>
          <w:rFonts w:ascii="Times New Roman" w:hAnsi="Times New Roman" w:eastAsia="Times New Roman"/>
          <w:b/>
          <w:sz w:val="28"/>
        </w:rPr>
        <w:t>ОБЩЕРАЗВИВАЮЩАЯ ПРОГРАММА</w:t>
      </w:r>
    </w:p>
    <w:p>
      <w:pPr>
        <w:spacing w:line="240" w:lineRule="auto" w:after="60"/>
        <w:jc w:val="center"/>
      </w:pPr>
      <w:r>
        <w:rPr>
          <w:rFonts w:ascii="Times New Roman" w:hAnsi="Times New Roman" w:eastAsia="Times New Roman"/>
          <w:b w:val="0"/>
          <w:sz w:val="24"/>
        </w:rPr>
      </w:r>
      <w:r>
        <w:rPr>
          <w:rFonts w:ascii="Times New Roman" w:hAnsi="Times New Roman" w:eastAsia="Times New Roman"/>
          <w:b/>
          <w:sz w:val="32"/>
        </w:rPr>
        <w:t>«СКОРОЧТЕНИЕ»</w:t>
      </w:r>
    </w:p>
    <w:p>
      <w:pPr>
        <w:spacing w:line="240" w:lineRule="auto" w:after="60"/>
        <w:jc w:val="center"/>
      </w:pPr>
      <w:r>
        <w:rPr>
          <w:rFonts w:ascii="Times New Roman" w:hAnsi="Times New Roman" w:eastAsia="Times New Roman"/>
          <w:b w:val="0"/>
          <w:sz w:val="24"/>
        </w:rPr>
      </w:r>
      <w:r>
        <w:rPr>
          <w:rFonts w:ascii="Times New Roman" w:hAnsi="Times New Roman" w:eastAsia="Times New Roman"/>
          <w:b w:val="0"/>
          <w:sz w:val="24"/>
        </w:rPr>
        <w:t>социально-гуманитарная направленность</w:t>
      </w:r>
    </w:p>
    <w:p/>
    <w:p>
      <w:pPr>
        <w:spacing w:line="240" w:lineRule="auto" w:after="60"/>
        <w:jc w:val="center"/>
      </w:pPr>
      <w:r>
        <w:rPr>
          <w:rFonts w:ascii="Times New Roman" w:hAnsi="Times New Roman" w:eastAsia="Times New Roman"/>
          <w:b w:val="0"/>
          <w:sz w:val="24"/>
        </w:rPr>
      </w:r>
      <w:r>
        <w:rPr>
          <w:rFonts w:ascii="Times New Roman" w:hAnsi="Times New Roman" w:eastAsia="Times New Roman"/>
          <w:b w:val="0"/>
          <w:sz w:val="24"/>
        </w:rPr>
        <w:t>Возраст обучающихся: 8–9 лет</w:t>
      </w:r>
    </w:p>
    <w:p>
      <w:pPr>
        <w:spacing w:line="240" w:lineRule="auto" w:after="60"/>
        <w:jc w:val="center"/>
      </w:pPr>
      <w:r>
        <w:rPr>
          <w:rFonts w:ascii="Times New Roman" w:hAnsi="Times New Roman" w:eastAsia="Times New Roman"/>
          <w:b w:val="0"/>
          <w:sz w:val="24"/>
        </w:rPr>
      </w:r>
      <w:r>
        <w:rPr>
          <w:rFonts w:ascii="Times New Roman" w:hAnsi="Times New Roman" w:eastAsia="Times New Roman"/>
          <w:b w:val="0"/>
          <w:sz w:val="24"/>
        </w:rPr>
        <w:t>Срок реализации: 8 месяцев</w:t>
      </w:r>
    </w:p>
    <w:p>
      <w:pPr>
        <w:spacing w:line="240" w:lineRule="auto" w:after="60"/>
        <w:jc w:val="center"/>
      </w:pPr>
      <w:r>
        <w:rPr>
          <w:rFonts w:ascii="Times New Roman" w:hAnsi="Times New Roman" w:eastAsia="Times New Roman"/>
          <w:b w:val="0"/>
          <w:sz w:val="24"/>
        </w:rPr>
      </w:r>
      <w:r>
        <w:rPr>
          <w:rFonts w:ascii="Times New Roman" w:hAnsi="Times New Roman" w:eastAsia="Times New Roman"/>
          <w:b w:val="0"/>
          <w:sz w:val="24"/>
        </w:rPr>
        <w:t>Период реализации: 01.10.2026–31.05.2027</w:t>
      </w:r>
    </w:p>
    <w:p>
      <w:pPr>
        <w:spacing w:line="240" w:lineRule="auto" w:after="60"/>
        <w:jc w:val="center"/>
      </w:pPr>
      <w:r>
        <w:rPr>
          <w:rFonts w:ascii="Times New Roman" w:hAnsi="Times New Roman" w:eastAsia="Times New Roman"/>
          <w:b w:val="0"/>
          <w:sz w:val="24"/>
        </w:rPr>
      </w:r>
      <w:r>
        <w:rPr>
          <w:rFonts w:ascii="Times New Roman" w:hAnsi="Times New Roman" w:eastAsia="Times New Roman"/>
          <w:b w:val="0"/>
          <w:sz w:val="24"/>
        </w:rPr>
        <w:t>Объём: 30 академических часов</w:t>
      </w:r>
    </w:p>
    <w:p>
      <w:pPr>
        <w:spacing w:line="240" w:lineRule="auto" w:after="60"/>
        <w:jc w:val="center"/>
      </w:pPr>
      <w:r>
        <w:rPr>
          <w:rFonts w:ascii="Times New Roman" w:hAnsi="Times New Roman" w:eastAsia="Times New Roman"/>
          <w:b w:val="0"/>
          <w:sz w:val="24"/>
        </w:rPr>
      </w:r>
      <w:r>
        <w:rPr>
          <w:rFonts w:ascii="Times New Roman" w:hAnsi="Times New Roman" w:eastAsia="Times New Roman"/>
          <w:b w:val="0"/>
          <w:sz w:val="24"/>
        </w:rPr>
        <w:t>Режим: 1 раз в неделю по 40 минут</w:t>
      </w:r>
    </w:p>
    <w:p>
      <w:pPr>
        <w:spacing w:line="240" w:lineRule="auto" w:after="60"/>
        <w:jc w:val="center"/>
      </w:pPr>
      <w:r>
        <w:rPr>
          <w:rFonts w:ascii="Times New Roman" w:hAnsi="Times New Roman" w:eastAsia="Times New Roman"/>
          <w:b w:val="0"/>
          <w:sz w:val="24"/>
        </w:rPr>
      </w:r>
      <w:r>
        <w:rPr>
          <w:rFonts w:ascii="Times New Roman" w:hAnsi="Times New Roman" w:eastAsia="Times New Roman"/>
          <w:b w:val="0"/>
          <w:sz w:val="24"/>
        </w:rPr>
        <w:t>Форма обучения: очная</w:t>
      </w:r>
    </w:p>
    <w:p>
      <w:pPr>
        <w:spacing w:line="240" w:lineRule="auto" w:after="60"/>
        <w:jc w:val="center"/>
      </w:pPr>
      <w:r>
        <w:rPr>
          <w:rFonts w:ascii="Times New Roman" w:hAnsi="Times New Roman" w:eastAsia="Times New Roman"/>
          <w:b w:val="0"/>
          <w:sz w:val="24"/>
        </w:rPr>
      </w:r>
      <w:r>
        <w:rPr>
          <w:rFonts w:ascii="Times New Roman" w:hAnsi="Times New Roman" w:eastAsia="Times New Roman"/>
          <w:b w:val="0"/>
          <w:sz w:val="24"/>
        </w:rPr>
        <w:t>Автор-составитель: Бардаш И.В.</w:t>
      </w:r>
    </w:p>
    <w:p>
      <w:pPr>
        <w:spacing w:line="240" w:lineRule="auto" w:after="60"/>
        <w:jc w:val="center"/>
      </w:pPr>
      <w:r>
        <w:rPr>
          <w:rFonts w:ascii="Times New Roman" w:hAnsi="Times New Roman" w:eastAsia="Times New Roman"/>
          <w:b w:val="0"/>
          <w:sz w:val="24"/>
        </w:rPr>
      </w:r>
      <w:r>
        <w:rPr>
          <w:rFonts w:ascii="Times New Roman" w:hAnsi="Times New Roman" w:eastAsia="Times New Roman"/>
          <w:b w:val="0"/>
          <w:sz w:val="24"/>
        </w:rPr>
        <w:t>Bambini School — коммерческое обозначение</w:t>
      </w:r>
    </w:p>
    <w:p>
      <w:pPr>
        <w:spacing w:line="240" w:lineRule="auto" w:after="60"/>
        <w:jc w:val="center"/>
      </w:pPr>
      <w:r>
        <w:rPr>
          <w:rFonts w:ascii="Times New Roman" w:hAnsi="Times New Roman" w:eastAsia="Times New Roman"/>
          <w:b w:val="0"/>
          <w:sz w:val="24"/>
        </w:rPr>
      </w:r>
      <w:r>
        <w:rPr>
          <w:rFonts w:ascii="Times New Roman" w:hAnsi="Times New Roman" w:eastAsia="Times New Roman"/>
          <w:b w:val="0"/>
          <w:sz w:val="24"/>
        </w:rPr>
        <w:t>г. Барнаул, 2026</w:t>
      </w:r>
    </w:p>
    <w:p>
      <w:r>
        <w:br w:type="page"/>
      </w:r>
    </w:p>
    <w:p>
      <w:pPr>
        <w:pStyle w:val="Heading1"/>
      </w:pPr>
      <w:r>
        <w:t>1. Нормативно-правовая основа</w:t>
      </w:r>
    </w:p>
    <w:p>
      <w:pPr>
        <w:pStyle w:val="ListBullet"/>
        <w:spacing w:after="40" w:line="240" w:lineRule="auto"/>
      </w:pPr>
      <w:r>
        <w:t>Федеральный закон от 29.12.2012 № 273-ФЗ «Об образовании в Российской Федерации» (в действующей редакции);</w:t>
      </w:r>
    </w:p>
    <w:p>
      <w:pPr>
        <w:pStyle w:val="ListBullet"/>
        <w:spacing w:after="40" w:line="240" w:lineRule="auto"/>
      </w:pPr>
      <w:r>
        <w:t>Закон РФ от 07.02.1992 № 2300-1 «О защите прав потребителей» — в части платных образовательных услуг;</w:t>
      </w:r>
    </w:p>
    <w:p>
      <w:pPr>
        <w:pStyle w:val="ListBullet"/>
        <w:spacing w:after="40" w:line="240" w:lineRule="auto"/>
      </w:pPr>
      <w:r>
        <w:t>Постановление Правительства РФ от 18.09.2020 № 1490 «О лицензировании образовательной деятельности» (в действующей редакции);</w:t>
      </w:r>
    </w:p>
    <w:p>
      <w:pPr>
        <w:pStyle w:val="ListBullet"/>
        <w:spacing w:after="40" w:line="240" w:lineRule="auto"/>
      </w:pPr>
      <w:r>
        <w:t>Постановление Правительства РФ от 15.09.2020 № 1441 «Об утверждении Правил оказания платных образовательных услуг» (в действующей редакции);</w:t>
      </w:r>
    </w:p>
    <w:p>
      <w:pPr>
        <w:pStyle w:val="ListBullet"/>
        <w:spacing w:after="40" w:line="240" w:lineRule="auto"/>
      </w:pPr>
      <w:r>
        <w:t>Приказ Минпросвещения России от 27.07.2022 № 629 «Об утверждении Порядка организации и осуществления образовательной деятельности по дополнительным общеобразовательным программам»;</w:t>
      </w:r>
    </w:p>
    <w:p>
      <w:pPr>
        <w:pStyle w:val="ListBullet"/>
        <w:spacing w:after="40" w:line="240" w:lineRule="auto"/>
      </w:pPr>
      <w:r>
        <w:t>СП 2.4.3648-20 и СанПиН 1.2.3685-21 в действующих редакциях;</w:t>
      </w:r>
    </w:p>
    <w:p>
      <w:pPr>
        <w:pStyle w:val="ListBullet"/>
        <w:spacing w:after="40" w:line="240" w:lineRule="auto"/>
      </w:pPr>
      <w:r>
        <w:t>Приказ Минтруда России от 22.09.2021 № 652н «Об утверждении профессионального стандарта “Педагог дополнительного образования детей и взрослых”» — в применимой части.</w:t>
      </w:r>
    </w:p>
    <w:p>
      <w:pPr>
        <w:spacing w:line="240" w:lineRule="auto" w:after="60"/>
        <w:ind w:firstLine="709"/>
      </w:pPr>
      <w:r>
        <w:rPr>
          <w:rFonts w:ascii="Times New Roman" w:hAnsi="Times New Roman" w:eastAsia="Times New Roman"/>
          <w:b w:val="0"/>
          <w:sz w:val="24"/>
        </w:rPr>
        <w:t>ФГОС НОО и ФОП НОО не устанавливают обязательное содержание настоящей дополнительной общеразвивающей программы. Содержание и сроки обучения определяются ДООП в соответствии со статьёй 75 Федерального закона № 273-ФЗ с учётом возрастных и индивидуальных особенностей детей.</w:t>
      </w:r>
    </w:p>
    <w:p>
      <w:pPr>
        <w:pStyle w:val="Heading1"/>
      </w:pPr>
      <w:r>
        <w:t>2. Пояснительная записка</w:t>
      </w:r>
    </w:p>
    <w:p>
      <w:pPr>
        <w:spacing w:line="240" w:lineRule="auto" w:after="60"/>
        <w:ind w:firstLine="709"/>
      </w:pPr>
      <w:r>
        <w:rPr>
          <w:rFonts w:ascii="Times New Roman" w:hAnsi="Times New Roman" w:eastAsia="Times New Roman"/>
          <w:b w:val="0"/>
          <w:sz w:val="24"/>
        </w:rPr>
        <w:t>ДООП «Скорочтение» имеет социально-гуманитарную направленность и предназначена для развития рациональных способов чтения и работы с текстовой информацией. Программа объединяет упражнения на точность и осознанность чтения, зрительный поиск, внимание, смысловую обработку текста, словарную работу, пересказ и доступные мнемонические приёмы.</w:t>
      </w:r>
    </w:p>
    <w:p>
      <w:pPr>
        <w:pStyle w:val="Heading2"/>
      </w:pPr>
      <w:r>
        <w:t>2.1. Актуальность</w:t>
      </w:r>
    </w:p>
    <w:p>
      <w:pPr>
        <w:spacing w:line="240" w:lineRule="auto" w:after="60"/>
        <w:ind w:firstLine="709"/>
      </w:pPr>
      <w:r>
        <w:rPr>
          <w:rFonts w:ascii="Times New Roman" w:hAnsi="Times New Roman" w:eastAsia="Times New Roman"/>
          <w:b w:val="0"/>
          <w:sz w:val="24"/>
        </w:rPr>
        <w:t>В возрасте 8–9 лет важны не только темп чтения, но и правильность, понимание, способность выделять главное, находить информацию и удерживать учебную задачу. Программа ориентирована на индивидуальную положительную динамику без гарантии кратного увеличения скорости чтения.</w:t>
      </w:r>
    </w:p>
    <w:p>
      <w:pPr>
        <w:pStyle w:val="Heading2"/>
      </w:pPr>
      <w:r>
        <w:t>2.2. Адресат программы</w:t>
      </w:r>
    </w:p>
    <w:p>
      <w:pPr>
        <w:spacing w:line="240" w:lineRule="auto" w:after="60"/>
        <w:ind w:firstLine="709"/>
      </w:pPr>
      <w:r>
        <w:rPr>
          <w:rFonts w:ascii="Times New Roman" w:hAnsi="Times New Roman" w:eastAsia="Times New Roman"/>
          <w:b w:val="0"/>
          <w:sz w:val="24"/>
        </w:rPr>
        <w:t>Дети 8–9 лет. Специальные требования к уровню предшествующего образования не устанавливаются. Входная диагностика используется для определения стартового уровня и подбора сложности заданий.</w:t>
      </w:r>
    </w:p>
    <w:p>
      <w:pPr>
        <w:pStyle w:val="Heading2"/>
      </w:pPr>
      <w:r>
        <w:t>2.3. Объём, срок, форма и режим</w:t>
      </w:r>
    </w:p>
    <w:p>
      <w:pPr>
        <w:pStyle w:val="ListBullet"/>
        <w:spacing w:after="40" w:line="240" w:lineRule="auto"/>
      </w:pPr>
      <w:r>
        <w:t>30 академических часов;</w:t>
      </w:r>
    </w:p>
    <w:p>
      <w:pPr>
        <w:pStyle w:val="ListBullet"/>
        <w:spacing w:after="40" w:line="240" w:lineRule="auto"/>
      </w:pPr>
      <w:r>
        <w:t>8 месяцев: 01.10.2026–31.05.2027;</w:t>
      </w:r>
    </w:p>
    <w:p>
      <w:pPr>
        <w:pStyle w:val="ListBullet"/>
        <w:spacing w:after="40" w:line="240" w:lineRule="auto"/>
      </w:pPr>
      <w:r>
        <w:t>очная форма;</w:t>
      </w:r>
    </w:p>
    <w:p>
      <w:pPr>
        <w:pStyle w:val="ListBullet"/>
        <w:spacing w:after="40" w:line="240" w:lineRule="auto"/>
      </w:pPr>
      <w:r>
        <w:t>1 занятие в неделю;</w:t>
      </w:r>
    </w:p>
    <w:p>
      <w:pPr>
        <w:pStyle w:val="ListBullet"/>
        <w:spacing w:after="40" w:line="240" w:lineRule="auto"/>
      </w:pPr>
      <w:r>
        <w:t>1 академический час — 40 минут;</w:t>
      </w:r>
    </w:p>
    <w:p>
      <w:pPr>
        <w:pStyle w:val="ListBullet"/>
        <w:spacing w:after="40" w:line="240" w:lineRule="auto"/>
      </w:pPr>
      <w:r>
        <w:t>основная форма — групповая, с индивидуальной и парной работой внутри занятия;</w:t>
      </w:r>
    </w:p>
    <w:p>
      <w:pPr>
        <w:pStyle w:val="ListBullet"/>
        <w:spacing w:after="40" w:line="240" w:lineRule="auto"/>
      </w:pPr>
      <w:r>
        <w:t>сетевая форма не применяется; дистанционное обучение и электронное обучение как форма реализации программы не применяются.</w:t>
      </w:r>
    </w:p>
    <w:p>
      <w:pPr>
        <w:pStyle w:val="Heading2"/>
      </w:pPr>
      <w:r>
        <w:t>2.4. Особенности образовательного процесса</w:t>
      </w:r>
    </w:p>
    <w:p>
      <w:pPr>
        <w:spacing w:line="240" w:lineRule="auto" w:after="60"/>
        <w:ind w:firstLine="709"/>
      </w:pPr>
      <w:r>
        <w:rPr>
          <w:rFonts w:ascii="Times New Roman" w:hAnsi="Times New Roman" w:eastAsia="Times New Roman"/>
          <w:b w:val="0"/>
          <w:sz w:val="24"/>
        </w:rPr>
        <w:t>Практическая часть преобладает. Теоретические пояснения даются кратко. Сложность и темп регулируются с учётом возраста, утомляемости и индивидуальной динамики. Упражнения, вызывающие дискомфорт, прекращаются или заменяются.</w:t>
      </w:r>
    </w:p>
    <w:p>
      <w:pPr>
        <w:pStyle w:val="Heading1"/>
      </w:pPr>
      <w:r>
        <w:t>3. Цель и задачи</w:t>
      </w:r>
    </w:p>
    <w:p>
      <w:pPr>
        <w:spacing w:line="240" w:lineRule="auto" w:after="60"/>
        <w:ind w:firstLine="709"/>
      </w:pPr>
      <w:r>
        <w:rPr>
          <w:rFonts w:ascii="Times New Roman" w:hAnsi="Times New Roman" w:eastAsia="Times New Roman"/>
          <w:b w:val="0"/>
          <w:sz w:val="24"/>
        </w:rPr>
        <w:t>Цель: создание условий для развития рационального, точного и осознанного чтения, внимания, памяти и способов смысловой работы с текстом у детей 8–9 лет.</w:t>
      </w:r>
    </w:p>
    <w:p>
      <w:pPr>
        <w:pStyle w:val="Heading2"/>
      </w:pPr>
      <w:r>
        <w:t>3.1. Обучающие задачи</w:t>
      </w:r>
    </w:p>
    <w:p>
      <w:pPr>
        <w:pStyle w:val="ListBullet"/>
        <w:spacing w:after="40" w:line="240" w:lineRule="auto"/>
      </w:pPr>
      <w:r>
        <w:t>освоить доступные приёмы рационального чтения и зрительного поиска;</w:t>
      </w:r>
    </w:p>
    <w:p>
      <w:pPr>
        <w:pStyle w:val="ListBullet"/>
        <w:spacing w:after="40" w:line="240" w:lineRule="auto"/>
      </w:pPr>
      <w:r>
        <w:t>учить выделять тему, основную мысль и ключевые слова;</w:t>
      </w:r>
    </w:p>
    <w:p>
      <w:pPr>
        <w:pStyle w:val="ListBullet"/>
        <w:spacing w:after="40" w:line="240" w:lineRule="auto"/>
      </w:pPr>
      <w:r>
        <w:t>формировать умение находить явную информацию и делать простые выводы;</w:t>
      </w:r>
    </w:p>
    <w:p>
      <w:pPr>
        <w:pStyle w:val="ListBullet"/>
        <w:spacing w:after="40" w:line="240" w:lineRule="auto"/>
      </w:pPr>
      <w:r>
        <w:t>формировать навыки краткого и подробного пересказа и постановки вопросов;</w:t>
      </w:r>
    </w:p>
    <w:p>
      <w:pPr>
        <w:pStyle w:val="ListBullet"/>
        <w:spacing w:after="40" w:line="240" w:lineRule="auto"/>
      </w:pPr>
      <w:r>
        <w:t>познакомить с приёмами ассоциации, группировки и смыслового плана.</w:t>
      </w:r>
    </w:p>
    <w:p>
      <w:pPr>
        <w:pStyle w:val="Heading2"/>
      </w:pPr>
      <w:r>
        <w:t>3.2. Развивающие задачи</w:t>
      </w:r>
    </w:p>
    <w:p>
      <w:pPr>
        <w:pStyle w:val="ListBullet"/>
        <w:spacing w:after="40" w:line="240" w:lineRule="auto"/>
      </w:pPr>
      <w:r>
        <w:t>развивать устойчивость и переключение внимания;</w:t>
      </w:r>
    </w:p>
    <w:p>
      <w:pPr>
        <w:pStyle w:val="ListBullet"/>
        <w:spacing w:after="40" w:line="240" w:lineRule="auto"/>
      </w:pPr>
      <w:r>
        <w:t>развивать зрительное восприятие и поиск информации;</w:t>
      </w:r>
    </w:p>
    <w:p>
      <w:pPr>
        <w:pStyle w:val="ListBullet"/>
        <w:spacing w:after="40" w:line="240" w:lineRule="auto"/>
      </w:pPr>
      <w:r>
        <w:t>развивать оперативную и смысловую память;</w:t>
      </w:r>
    </w:p>
    <w:p>
      <w:pPr>
        <w:pStyle w:val="ListBullet"/>
        <w:spacing w:after="40" w:line="240" w:lineRule="auto"/>
      </w:pPr>
      <w:r>
        <w:t>развивать связную речь и словарный запас;</w:t>
      </w:r>
    </w:p>
    <w:p>
      <w:pPr>
        <w:pStyle w:val="ListBullet"/>
        <w:spacing w:after="40" w:line="240" w:lineRule="auto"/>
      </w:pPr>
      <w:r>
        <w:t>развивать самоконтроль при чтении.</w:t>
      </w:r>
    </w:p>
    <w:p>
      <w:pPr>
        <w:pStyle w:val="Heading2"/>
      </w:pPr>
      <w:r>
        <w:t>3.3. Воспитательные задачи</w:t>
      </w:r>
    </w:p>
    <w:p>
      <w:pPr>
        <w:pStyle w:val="ListBullet"/>
        <w:spacing w:after="40" w:line="240" w:lineRule="auto"/>
      </w:pPr>
      <w:r>
        <w:t>поддерживать интерес к чтению;</w:t>
      </w:r>
    </w:p>
    <w:p>
      <w:pPr>
        <w:pStyle w:val="ListBullet"/>
        <w:spacing w:after="40" w:line="240" w:lineRule="auto"/>
      </w:pPr>
      <w:r>
        <w:t>формировать ответственное отношение к заданию;</w:t>
      </w:r>
    </w:p>
    <w:p>
      <w:pPr>
        <w:pStyle w:val="ListBullet"/>
        <w:spacing w:after="40" w:line="240" w:lineRule="auto"/>
      </w:pPr>
      <w:r>
        <w:t>развивать уважительное взаимодействие в группе;</w:t>
      </w:r>
    </w:p>
    <w:p>
      <w:pPr>
        <w:pStyle w:val="ListBullet"/>
        <w:spacing w:after="40" w:line="240" w:lineRule="auto"/>
      </w:pPr>
      <w:r>
        <w:t>формировать привычку замечать собственную динамику.</w:t>
      </w:r>
    </w:p>
    <w:p>
      <w:pPr>
        <w:pStyle w:val="Heading1"/>
      </w:pPr>
      <w:r>
        <w:t>4. Содержание программы</w:t>
      </w:r>
    </w:p>
    <w:p>
      <w:pPr>
        <w:pStyle w:val="Heading2"/>
      </w:pPr>
      <w:r>
        <w:t>Раздел 1. Основы рационального и осознанного чтения</w:t>
      </w:r>
    </w:p>
    <w:p>
      <w:pPr>
        <w:spacing w:line="240" w:lineRule="auto" w:after="60"/>
        <w:ind w:firstLine="709"/>
      </w:pPr>
      <w:r>
        <w:rPr>
          <w:rFonts w:ascii="Times New Roman" w:hAnsi="Times New Roman" w:eastAsia="Times New Roman"/>
          <w:b w:val="0"/>
          <w:sz w:val="24"/>
        </w:rPr>
        <w:t>Диагностика; техника чтения; смысловые группы; зрительная навигация; внимание; зрительный поиск; таблицы Шульте; возвраты; антиципация; словарная работа.</w:t>
      </w:r>
    </w:p>
    <w:p>
      <w:pPr>
        <w:pStyle w:val="Heading2"/>
      </w:pPr>
      <w:r>
        <w:t>Раздел 2. Смысловая обработка и запоминание</w:t>
      </w:r>
    </w:p>
    <w:p>
      <w:pPr>
        <w:spacing w:line="240" w:lineRule="auto" w:after="60"/>
        <w:ind w:firstLine="709"/>
      </w:pPr>
      <w:r>
        <w:rPr>
          <w:rFonts w:ascii="Times New Roman" w:hAnsi="Times New Roman" w:eastAsia="Times New Roman"/>
          <w:b w:val="0"/>
          <w:sz w:val="24"/>
        </w:rPr>
        <w:t>Главная мысль; ключевые слова; ассоциации; группировка; план; промежуточная диагностика; пересказ; вопросы; поиск информации.</w:t>
      </w:r>
    </w:p>
    <w:p>
      <w:pPr>
        <w:pStyle w:val="Heading2"/>
      </w:pPr>
      <w:r>
        <w:t>Раздел 3. Стратегии работы с текстом</w:t>
      </w:r>
    </w:p>
    <w:p>
      <w:pPr>
        <w:spacing w:line="240" w:lineRule="auto" w:after="60"/>
        <w:ind w:firstLine="709"/>
      </w:pPr>
      <w:r>
        <w:rPr>
          <w:rFonts w:ascii="Times New Roman" w:hAnsi="Times New Roman" w:eastAsia="Times New Roman"/>
          <w:b w:val="0"/>
          <w:sz w:val="24"/>
        </w:rPr>
        <w:t>Выводы; синонимы; антонимы; фразеологизмы; структура текста; просмотровое и ознакомительное чтение; комплексные задания; самоконтроль; итоговая диагностика.</w:t>
      </w:r>
    </w:p>
    <w:p>
      <w:pPr>
        <w:pStyle w:val="Heading1"/>
      </w:pPr>
      <w:r>
        <w:t>5. Учебный план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95"/>
        <w:gridCol w:w="1995"/>
        <w:gridCol w:w="1995"/>
        <w:gridCol w:w="1995"/>
        <w:gridCol w:w="1995"/>
      </w:tblGrid>
      <w:tr>
        <w:trPr>
          <w:tblHeader w:val="true"/>
        </w:trPr>
        <w:tc>
          <w:tcPr>
            <w:tcW w:type="dxa" w:w="1995"/>
            <w:vAlign w:val="center"/>
            <w:shd w:fill="D9E1F2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№</w:t>
            </w:r>
          </w:p>
        </w:tc>
        <w:tc>
          <w:tcPr>
            <w:tcW w:type="dxa" w:w="1995"/>
            <w:vAlign w:val="center"/>
            <w:shd w:fill="D9E1F2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Раздел</w:t>
            </w:r>
          </w:p>
        </w:tc>
        <w:tc>
          <w:tcPr>
            <w:tcW w:type="dxa" w:w="1995"/>
            <w:vAlign w:val="center"/>
            <w:shd w:fill="D9E1F2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Всего</w:t>
            </w:r>
          </w:p>
        </w:tc>
        <w:tc>
          <w:tcPr>
            <w:tcW w:type="dxa" w:w="1995"/>
            <w:vAlign w:val="center"/>
            <w:shd w:fill="D9E1F2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Теория</w:t>
            </w:r>
          </w:p>
        </w:tc>
        <w:tc>
          <w:tcPr>
            <w:tcW w:type="dxa" w:w="1995"/>
            <w:vAlign w:val="center"/>
            <w:shd w:fill="D9E1F2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Практика</w:t>
            </w:r>
          </w:p>
        </w:tc>
      </w:tr>
      <w:tr>
        <w:trPr>
          <w:cantSplit/>
        </w:trPr>
        <w:tc>
          <w:tcPr>
            <w:tcW w:type="dxa" w:w="1995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1</w:t>
            </w:r>
          </w:p>
        </w:tc>
        <w:tc>
          <w:tcPr>
            <w:tcW w:type="dxa" w:w="1995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Раздел 1. Основы рационального и осознанного чтения</w:t>
            </w:r>
          </w:p>
        </w:tc>
        <w:tc>
          <w:tcPr>
            <w:tcW w:type="dxa" w:w="1995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10</w:t>
            </w:r>
          </w:p>
        </w:tc>
        <w:tc>
          <w:tcPr>
            <w:tcW w:type="dxa" w:w="1995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3</w:t>
            </w:r>
          </w:p>
        </w:tc>
        <w:tc>
          <w:tcPr>
            <w:tcW w:type="dxa" w:w="1995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7</w:t>
            </w:r>
          </w:p>
        </w:tc>
      </w:tr>
      <w:tr>
        <w:trPr>
          <w:cantSplit/>
        </w:trPr>
        <w:tc>
          <w:tcPr>
            <w:tcW w:type="dxa" w:w="1995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2</w:t>
            </w:r>
          </w:p>
        </w:tc>
        <w:tc>
          <w:tcPr>
            <w:tcW w:type="dxa" w:w="1995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Раздел 2. Смысловая обработка и запоминание</w:t>
            </w:r>
          </w:p>
        </w:tc>
        <w:tc>
          <w:tcPr>
            <w:tcW w:type="dxa" w:w="1995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10</w:t>
            </w:r>
          </w:p>
        </w:tc>
        <w:tc>
          <w:tcPr>
            <w:tcW w:type="dxa" w:w="1995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3</w:t>
            </w:r>
          </w:p>
        </w:tc>
        <w:tc>
          <w:tcPr>
            <w:tcW w:type="dxa" w:w="1995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7</w:t>
            </w:r>
          </w:p>
        </w:tc>
      </w:tr>
      <w:tr>
        <w:trPr>
          <w:cantSplit/>
        </w:trPr>
        <w:tc>
          <w:tcPr>
            <w:tcW w:type="dxa" w:w="1995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3</w:t>
            </w:r>
          </w:p>
        </w:tc>
        <w:tc>
          <w:tcPr>
            <w:tcW w:type="dxa" w:w="1995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Раздел 3. Стратегии работы с текстом</w:t>
            </w:r>
          </w:p>
        </w:tc>
        <w:tc>
          <w:tcPr>
            <w:tcW w:type="dxa" w:w="1995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10</w:t>
            </w:r>
          </w:p>
        </w:tc>
        <w:tc>
          <w:tcPr>
            <w:tcW w:type="dxa" w:w="1995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3</w:t>
            </w:r>
          </w:p>
        </w:tc>
        <w:tc>
          <w:tcPr>
            <w:tcW w:type="dxa" w:w="1995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7</w:t>
            </w:r>
          </w:p>
        </w:tc>
      </w:tr>
      <w:tr>
        <w:trPr>
          <w:cantSplit/>
        </w:trPr>
        <w:tc>
          <w:tcPr>
            <w:tcW w:type="dxa" w:w="1995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</w:r>
          </w:p>
        </w:tc>
        <w:tc>
          <w:tcPr>
            <w:tcW w:type="dxa" w:w="1995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ИТОГО</w:t>
            </w:r>
          </w:p>
        </w:tc>
        <w:tc>
          <w:tcPr>
            <w:tcW w:type="dxa" w:w="1995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30</w:t>
            </w:r>
          </w:p>
        </w:tc>
        <w:tc>
          <w:tcPr>
            <w:tcW w:type="dxa" w:w="1995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9</w:t>
            </w:r>
          </w:p>
        </w:tc>
        <w:tc>
          <w:tcPr>
            <w:tcW w:type="dxa" w:w="1995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21</w:t>
            </w:r>
          </w:p>
        </w:tc>
      </w:tr>
    </w:tbl>
    <w:p>
      <w:pPr>
        <w:pStyle w:val="Heading1"/>
      </w:pPr>
      <w:r>
        <w:t>6. Учебно-тематический план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vAlign w:val="center"/>
            <w:shd w:fill="D9E1F2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7"/>
              </w:rPr>
              <w:t>№</w:t>
            </w:r>
          </w:p>
        </w:tc>
        <w:tc>
          <w:tcPr>
            <w:tcW w:type="dxa" w:w="1662"/>
            <w:vAlign w:val="center"/>
            <w:shd w:fill="D9E1F2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7"/>
              </w:rPr>
              <w:t>Тема</w:t>
            </w:r>
          </w:p>
        </w:tc>
        <w:tc>
          <w:tcPr>
            <w:tcW w:type="dxa" w:w="1662"/>
            <w:vAlign w:val="center"/>
            <w:shd w:fill="D9E1F2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7"/>
              </w:rPr>
              <w:t>Всего</w:t>
            </w:r>
          </w:p>
        </w:tc>
        <w:tc>
          <w:tcPr>
            <w:tcW w:type="dxa" w:w="1662"/>
            <w:vAlign w:val="center"/>
            <w:shd w:fill="D9E1F2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7"/>
              </w:rPr>
              <w:t>Теория</w:t>
            </w:r>
          </w:p>
        </w:tc>
        <w:tc>
          <w:tcPr>
            <w:tcW w:type="dxa" w:w="1662"/>
            <w:vAlign w:val="center"/>
            <w:shd w:fill="D9E1F2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7"/>
              </w:rPr>
              <w:t>Практика</w:t>
            </w:r>
          </w:p>
        </w:tc>
        <w:tc>
          <w:tcPr>
            <w:tcW w:type="dxa" w:w="1662"/>
            <w:vAlign w:val="center"/>
            <w:shd w:fill="D9E1F2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7"/>
              </w:rPr>
              <w:t>Контроль</w:t>
            </w:r>
          </w:p>
        </w:tc>
      </w:tr>
      <w:tr>
        <w:trPr>
          <w:cantSplit/>
        </w:trPr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1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Входная диагностика. Осознанное чтение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1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0,3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0,7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Диагностика</w:t>
            </w:r>
          </w:p>
        </w:tc>
      </w:tr>
      <w:tr>
        <w:trPr>
          <w:cantSplit/>
        </w:trPr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2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Чтение вслух: точность и плавность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1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0,3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0,7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Наблюдение/задание</w:t>
            </w:r>
          </w:p>
        </w:tc>
      </w:tr>
      <w:tr>
        <w:trPr>
          <w:cantSplit/>
        </w:trPr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3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Смысловые единицы текста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1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0,3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0,7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Наблюдение/задание</w:t>
            </w:r>
          </w:p>
        </w:tc>
      </w:tr>
      <w:tr>
        <w:trPr>
          <w:cantSplit/>
        </w:trPr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4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Визуальный ориентир строки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1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0,3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0,7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Наблюдение/задание</w:t>
            </w:r>
          </w:p>
        </w:tc>
      </w:tr>
      <w:tr>
        <w:trPr>
          <w:cantSplit/>
        </w:trPr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5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Внимание при чтении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1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0,3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0,7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Наблюдение/задание</w:t>
            </w:r>
          </w:p>
        </w:tc>
      </w:tr>
      <w:tr>
        <w:trPr>
          <w:cantSplit/>
        </w:trPr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6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Зрительное восприятие текста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1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0,3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0,7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Наблюдение/задание</w:t>
            </w:r>
          </w:p>
        </w:tc>
      </w:tr>
      <w:tr>
        <w:trPr>
          <w:cantSplit/>
        </w:trPr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7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Таблицы Шульте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1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0,3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0,7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Наблюдение/задание</w:t>
            </w:r>
          </w:p>
        </w:tc>
      </w:tr>
      <w:tr>
        <w:trPr>
          <w:cantSplit/>
        </w:trPr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8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Возвраты при чтении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1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0,3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0,7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Наблюдение/задание</w:t>
            </w:r>
          </w:p>
        </w:tc>
      </w:tr>
      <w:tr>
        <w:trPr>
          <w:cantSplit/>
        </w:trPr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9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Антиципация по контексту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1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0,3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0,7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Наблюдение/задание</w:t>
            </w:r>
          </w:p>
        </w:tc>
      </w:tr>
      <w:tr>
        <w:trPr>
          <w:cantSplit/>
        </w:trPr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10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Словарная работа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1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0,3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0,7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Наблюдение/задание</w:t>
            </w:r>
          </w:p>
        </w:tc>
      </w:tr>
      <w:tr>
        <w:trPr>
          <w:cantSplit/>
        </w:trPr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11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Главная мысль текста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1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0,3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0,7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Наблюдение/задание</w:t>
            </w:r>
          </w:p>
        </w:tc>
      </w:tr>
      <w:tr>
        <w:trPr>
          <w:cantSplit/>
        </w:trPr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12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Ключевые слова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1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0,3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0,7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Наблюдение/задание</w:t>
            </w:r>
          </w:p>
        </w:tc>
      </w:tr>
      <w:tr>
        <w:trPr>
          <w:cantSplit/>
        </w:trPr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13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Мнемоника: ассоциации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1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0,3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0,7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Наблюдение/задание</w:t>
            </w:r>
          </w:p>
        </w:tc>
      </w:tr>
      <w:tr>
        <w:trPr>
          <w:cantSplit/>
        </w:trPr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14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Мнемоника: группировка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1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0,3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0,7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Наблюдение/задание</w:t>
            </w:r>
          </w:p>
        </w:tc>
      </w:tr>
      <w:tr>
        <w:trPr>
          <w:cantSplit/>
        </w:trPr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15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Простой план текста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1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0,3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0,7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Наблюдение/задание</w:t>
            </w:r>
          </w:p>
        </w:tc>
      </w:tr>
      <w:tr>
        <w:trPr>
          <w:cantSplit/>
        </w:trPr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16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Промежуточная диагностика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1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0,3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0,7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Диагностика</w:t>
            </w:r>
          </w:p>
        </w:tc>
      </w:tr>
      <w:tr>
        <w:trPr>
          <w:cantSplit/>
        </w:trPr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17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Краткий пересказ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1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0,3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0,7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Наблюдение/задание</w:t>
            </w:r>
          </w:p>
        </w:tc>
      </w:tr>
      <w:tr>
        <w:trPr>
          <w:cantSplit/>
        </w:trPr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18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Подробный пересказ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1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0,3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0,7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Наблюдение/задание</w:t>
            </w:r>
          </w:p>
        </w:tc>
      </w:tr>
      <w:tr>
        <w:trPr>
          <w:cantSplit/>
        </w:trPr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19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Вопросы к тексту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1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0,3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0,7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Наблюдение/задание</w:t>
            </w:r>
          </w:p>
        </w:tc>
      </w:tr>
      <w:tr>
        <w:trPr>
          <w:cantSplit/>
        </w:trPr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20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Поиск явной информации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1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0,3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0,7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Наблюдение/задание</w:t>
            </w:r>
          </w:p>
        </w:tc>
      </w:tr>
      <w:tr>
        <w:trPr>
          <w:cantSplit/>
        </w:trPr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21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Выводы по тексту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1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0,3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0,7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Наблюдение/задание</w:t>
            </w:r>
          </w:p>
        </w:tc>
      </w:tr>
      <w:tr>
        <w:trPr>
          <w:cantSplit/>
        </w:trPr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22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Синонимы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1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0,3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0,7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Наблюдение/задание</w:t>
            </w:r>
          </w:p>
        </w:tc>
      </w:tr>
      <w:tr>
        <w:trPr>
          <w:cantSplit/>
        </w:trPr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23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Антонимы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1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0,3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0,7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Наблюдение/задание</w:t>
            </w:r>
          </w:p>
        </w:tc>
      </w:tr>
      <w:tr>
        <w:trPr>
          <w:cantSplit/>
        </w:trPr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24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Фразеологизмы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1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0,3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0,7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Наблюдение/задание</w:t>
            </w:r>
          </w:p>
        </w:tc>
      </w:tr>
      <w:tr>
        <w:trPr>
          <w:cantSplit/>
        </w:trPr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25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Структура информационного текста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1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0,3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0,7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Наблюдение/задание</w:t>
            </w:r>
          </w:p>
        </w:tc>
      </w:tr>
      <w:tr>
        <w:trPr>
          <w:cantSplit/>
        </w:trPr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26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Просмотровое чтение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1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0,3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0,7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Наблюдение/задание</w:t>
            </w:r>
          </w:p>
        </w:tc>
      </w:tr>
      <w:tr>
        <w:trPr>
          <w:cantSplit/>
        </w:trPr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27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Ознакомительное чтение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1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0,3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0,7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Наблюдение/задание</w:t>
            </w:r>
          </w:p>
        </w:tc>
      </w:tr>
      <w:tr>
        <w:trPr>
          <w:cantSplit/>
        </w:trPr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28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Комплексные задания к тексту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1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0,3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0,7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Наблюдение/задание</w:t>
            </w:r>
          </w:p>
        </w:tc>
      </w:tr>
      <w:tr>
        <w:trPr>
          <w:cantSplit/>
        </w:trPr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29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Самоконтроль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1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0,3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0,7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Наблюдение/задание</w:t>
            </w:r>
          </w:p>
        </w:tc>
      </w:tr>
      <w:tr>
        <w:trPr>
          <w:cantSplit/>
        </w:trPr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30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Итоговая диагностика и рефлексия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1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0,3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0,7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Диагностика</w:t>
            </w:r>
          </w:p>
        </w:tc>
      </w:tr>
    </w:tbl>
    <w:p>
      <w:pPr>
        <w:pStyle w:val="Heading1"/>
      </w:pPr>
      <w:r>
        <w:t>7. Календарный учебный график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rPr>
          <w:tblHeader w:val="true"/>
        </w:trPr>
        <w:tc>
          <w:tcPr>
            <w:tcW w:type="dxa" w:w="4986"/>
            <w:vAlign w:val="center"/>
            <w:shd w:fill="D9E1F2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Показатель</w:t>
            </w:r>
          </w:p>
        </w:tc>
        <w:tc>
          <w:tcPr>
            <w:tcW w:type="dxa" w:w="4986"/>
            <w:vAlign w:val="center"/>
            <w:shd w:fill="D9E1F2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Значение</w:t>
            </w:r>
          </w:p>
        </w:tc>
      </w:tr>
      <w:tr>
        <w:trPr>
          <w:cantSplit/>
        </w:trPr>
        <w:tc>
          <w:tcPr>
            <w:tcW w:type="dxa" w:w="4986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Период</w:t>
            </w:r>
          </w:p>
        </w:tc>
        <w:tc>
          <w:tcPr>
            <w:tcW w:type="dxa" w:w="4986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01.10.2026–31.05.2027</w:t>
            </w:r>
          </w:p>
        </w:tc>
      </w:tr>
      <w:tr>
        <w:trPr>
          <w:cantSplit/>
        </w:trPr>
        <w:tc>
          <w:tcPr>
            <w:tcW w:type="dxa" w:w="4986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Срок</w:t>
            </w:r>
          </w:p>
        </w:tc>
        <w:tc>
          <w:tcPr>
            <w:tcW w:type="dxa" w:w="4986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8 месяцев</w:t>
            </w:r>
          </w:p>
        </w:tc>
      </w:tr>
      <w:tr>
        <w:trPr>
          <w:cantSplit/>
        </w:trPr>
        <w:tc>
          <w:tcPr>
            <w:tcW w:type="dxa" w:w="4986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Объём</w:t>
            </w:r>
          </w:p>
        </w:tc>
        <w:tc>
          <w:tcPr>
            <w:tcW w:type="dxa" w:w="4986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30 академических часов</w:t>
            </w:r>
          </w:p>
        </w:tc>
      </w:tr>
      <w:tr>
        <w:trPr>
          <w:cantSplit/>
        </w:trPr>
        <w:tc>
          <w:tcPr>
            <w:tcW w:type="dxa" w:w="4986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Количество занятий</w:t>
            </w:r>
          </w:p>
        </w:tc>
        <w:tc>
          <w:tcPr>
            <w:tcW w:type="dxa" w:w="4986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30</w:t>
            </w:r>
          </w:p>
        </w:tc>
      </w:tr>
      <w:tr>
        <w:trPr>
          <w:cantSplit/>
        </w:trPr>
        <w:tc>
          <w:tcPr>
            <w:tcW w:type="dxa" w:w="4986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Режим</w:t>
            </w:r>
          </w:p>
        </w:tc>
        <w:tc>
          <w:tcPr>
            <w:tcW w:type="dxa" w:w="4986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1 раз в неделю по 40 минут</w:t>
            </w:r>
          </w:p>
        </w:tc>
      </w:tr>
      <w:tr>
        <w:trPr>
          <w:cantSplit/>
        </w:trPr>
        <w:tc>
          <w:tcPr>
            <w:tcW w:type="dxa" w:w="4986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Форма</w:t>
            </w:r>
          </w:p>
        </w:tc>
        <w:tc>
          <w:tcPr>
            <w:tcW w:type="dxa" w:w="4986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очная</w:t>
            </w:r>
          </w:p>
        </w:tc>
      </w:tr>
      <w:tr>
        <w:trPr>
          <w:cantSplit/>
        </w:trPr>
        <w:tc>
          <w:tcPr>
            <w:tcW w:type="dxa" w:w="4986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Планируемый день</w:t>
            </w:r>
          </w:p>
        </w:tc>
        <w:tc>
          <w:tcPr>
            <w:tcW w:type="dxa" w:w="4986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четверг; конкретное время — по расписанию</w:t>
            </w:r>
          </w:p>
        </w:tc>
      </w:tr>
      <w:tr>
        <w:trPr>
          <w:cantSplit/>
        </w:trPr>
        <w:tc>
          <w:tcPr>
            <w:tcW w:type="dxa" w:w="4986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Перерывы</w:t>
            </w:r>
          </w:p>
        </w:tc>
        <w:tc>
          <w:tcPr>
            <w:tcW w:type="dxa" w:w="4986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с учётом нерабочих праздничных дней и утверждённого режима работы</w:t>
            </w:r>
          </w:p>
        </w:tc>
      </w:tr>
    </w:tbl>
    <w:p>
      <w:pPr>
        <w:pStyle w:val="Heading1"/>
      </w:pPr>
      <w:r>
        <w:t>8. Календарно-тематическое (поурочное) планирование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vAlign w:val="center"/>
            <w:shd w:fill="D9E1F2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5"/>
              </w:rPr>
              <w:t>№</w:t>
            </w:r>
          </w:p>
        </w:tc>
        <w:tc>
          <w:tcPr>
            <w:tcW w:type="dxa" w:w="1662"/>
            <w:vAlign w:val="center"/>
            <w:shd w:fill="D9E1F2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5"/>
              </w:rPr>
              <w:t>Дата</w:t>
            </w:r>
          </w:p>
        </w:tc>
        <w:tc>
          <w:tcPr>
            <w:tcW w:type="dxa" w:w="1662"/>
            <w:vAlign w:val="center"/>
            <w:shd w:fill="D9E1F2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5"/>
              </w:rPr>
              <w:t>Тема</w:t>
            </w:r>
          </w:p>
        </w:tc>
        <w:tc>
          <w:tcPr>
            <w:tcW w:type="dxa" w:w="1662"/>
            <w:vAlign w:val="center"/>
            <w:shd w:fill="D9E1F2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5"/>
              </w:rPr>
              <w:t>Краткое содержание</w:t>
            </w:r>
          </w:p>
        </w:tc>
        <w:tc>
          <w:tcPr>
            <w:tcW w:type="dxa" w:w="1662"/>
            <w:vAlign w:val="center"/>
            <w:shd w:fill="D9E1F2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5"/>
              </w:rPr>
              <w:t>Практика</w:t>
            </w:r>
          </w:p>
        </w:tc>
        <w:tc>
          <w:tcPr>
            <w:tcW w:type="dxa" w:w="1662"/>
            <w:vAlign w:val="center"/>
            <w:shd w:fill="D9E1F2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5"/>
              </w:rPr>
              <w:t>Контроль</w:t>
            </w:r>
          </w:p>
        </w:tc>
      </w:tr>
      <w:tr>
        <w:trPr>
          <w:cantSplit/>
        </w:trPr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01.10.2026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Входная диагностика. Осознанное чтение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Критерии точности, темпа и понимания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Диагностика на возрастосообразном тексте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Диагностика</w:t>
            </w:r>
          </w:p>
        </w:tc>
      </w:tr>
      <w:tr>
        <w:trPr>
          <w:cantSplit/>
        </w:trPr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2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08.10.2026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Чтение вслух: точность и плавность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Компоненты техники чтения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Практика чтения и самоконтроль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Наблюдение/задание</w:t>
            </w:r>
          </w:p>
        </w:tc>
      </w:tr>
      <w:tr>
        <w:trPr>
          <w:cantSplit/>
        </w:trPr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3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15.10.2026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Смысловые единицы текста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Слово, словосочетание, предложение, абзац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Выделение смысловых групп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Наблюдение/задание</w:t>
            </w:r>
          </w:p>
        </w:tc>
      </w:tr>
      <w:tr>
        <w:trPr>
          <w:cantSplit/>
        </w:trPr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4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22.10.2026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Визуальный ориентир строки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Рациональная навигация по строке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Чтение с указателем строки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Наблюдение/задание</w:t>
            </w:r>
          </w:p>
        </w:tc>
      </w:tr>
      <w:tr>
        <w:trPr>
          <w:cantSplit/>
        </w:trPr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5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29.10.2026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Внимание при чтении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Устойчивость и переключение внимания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Поиск символов и слов по условию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Наблюдение/задание</w:t>
            </w:r>
          </w:p>
        </w:tc>
      </w:tr>
      <w:tr>
        <w:trPr>
          <w:cantSplit/>
        </w:trPr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6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12.11.2026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Зрительное восприятие текста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Фиксация взгляда, охват фрагмента строки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Клиновидные и буквенно-цифровые таблицы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Наблюдение/задание</w:t>
            </w:r>
          </w:p>
        </w:tc>
      </w:tr>
      <w:tr>
        <w:trPr>
          <w:cantSplit/>
        </w:trPr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7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19.11.2026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Таблицы Шульте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Правила зрительного поиска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Поиск чисел и фиксация индивидуальной динамики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Наблюдение/задание</w:t>
            </w:r>
          </w:p>
        </w:tc>
      </w:tr>
      <w:tr>
        <w:trPr>
          <w:cantSplit/>
        </w:trPr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8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26.11.2026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Возвраты при чтении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Полезное перечитывание и случайные возвраты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Контролируемое чтение коротких текстов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Наблюдение/задание</w:t>
            </w:r>
          </w:p>
        </w:tc>
      </w:tr>
      <w:tr>
        <w:trPr>
          <w:cantSplit/>
        </w:trPr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9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03.12.2026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Антиципация по контексту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Прогнозирование слова и продолжения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Восстановление пропусков по смыслу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Наблюдение/задание</w:t>
            </w:r>
          </w:p>
        </w:tc>
      </w:tr>
      <w:tr>
        <w:trPr>
          <w:cantSplit/>
        </w:trPr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10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10.12.2026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Словарная работа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Значение незнакомых слов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Контекст и словарь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Наблюдение/задание</w:t>
            </w:r>
          </w:p>
        </w:tc>
      </w:tr>
      <w:tr>
        <w:trPr>
          <w:cantSplit/>
        </w:trPr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11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17.12.2026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Главная мысль текста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Тема и основная мысль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Выбор заголовка, формулирование мысли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Наблюдение/задание</w:t>
            </w:r>
          </w:p>
        </w:tc>
      </w:tr>
      <w:tr>
        <w:trPr>
          <w:cantSplit/>
        </w:trPr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12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24.12.2026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Ключевые слова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Роль ключевых слов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Выделение смысловой опоры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Наблюдение/задание</w:t>
            </w:r>
          </w:p>
        </w:tc>
      </w:tr>
      <w:tr>
        <w:trPr>
          <w:cantSplit/>
        </w:trPr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13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14.01.2027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Мнемоника: ассоциации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Ассоциация как приём запоминания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Создание нейтральных ассоциаций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Наблюдение/задание</w:t>
            </w:r>
          </w:p>
        </w:tc>
      </w:tr>
      <w:tr>
        <w:trPr>
          <w:cantSplit/>
        </w:trPr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14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21.01.2027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Мнемоника: группировка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Смысловая группировка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Объединение фактов и слов в группы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Наблюдение/задание</w:t>
            </w:r>
          </w:p>
        </w:tc>
      </w:tr>
      <w:tr>
        <w:trPr>
          <w:cantSplit/>
        </w:trPr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15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28.01.2027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Простой план текста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Структура плана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План из 3–5 пунктов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Наблюдение/задание</w:t>
            </w:r>
          </w:p>
        </w:tc>
      </w:tr>
      <w:tr>
        <w:trPr>
          <w:cantSplit/>
        </w:trPr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16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04.02.2027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Промежуточная диагностика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Критерии индивидуальной динамики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Повторный замер темпа, точности и понимания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Диагностика</w:t>
            </w:r>
          </w:p>
        </w:tc>
      </w:tr>
      <w:tr>
        <w:trPr>
          <w:cantSplit/>
        </w:trPr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17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11.02.2027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Краткий пересказ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Отбор существенной информации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Пересказ по ключевым словам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Наблюдение/задание</w:t>
            </w:r>
          </w:p>
        </w:tc>
      </w:tr>
      <w:tr>
        <w:trPr>
          <w:cantSplit/>
        </w:trPr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18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18.02.2027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Подробный пересказ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Последовательность событий и фактов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Пересказ по плану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Наблюдение/задание</w:t>
            </w:r>
          </w:p>
        </w:tc>
      </w:tr>
      <w:tr>
        <w:trPr>
          <w:cantSplit/>
        </w:trPr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19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25.02.2027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Вопросы к тексту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Типы вопросов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Составление вопросов и ответов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Наблюдение/задание</w:t>
            </w:r>
          </w:p>
        </w:tc>
      </w:tr>
      <w:tr>
        <w:trPr>
          <w:cantSplit/>
        </w:trPr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20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04.03.2027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Поиск явной информации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Факт, дата, причина, условие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Поиск ответа с указанием фрагмента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Наблюдение/задание</w:t>
            </w:r>
          </w:p>
        </w:tc>
      </w:tr>
      <w:tr>
        <w:trPr>
          <w:cantSplit/>
        </w:trPr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21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11.03.2027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Выводы по тексту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Факт и вывод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Формулирование простых выводов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Наблюдение/задание</w:t>
            </w:r>
          </w:p>
        </w:tc>
      </w:tr>
      <w:tr>
        <w:trPr>
          <w:cantSplit/>
        </w:trPr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22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18.03.2027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Синонимы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Смысловые оттенки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Замена слов без искажения смысла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Наблюдение/задание</w:t>
            </w:r>
          </w:p>
        </w:tc>
      </w:tr>
      <w:tr>
        <w:trPr>
          <w:cantSplit/>
        </w:trPr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23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01.04.2027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Антонимы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Противопоставление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Подбор антонимов и анализ контекста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Наблюдение/задание</w:t>
            </w:r>
          </w:p>
        </w:tc>
      </w:tr>
      <w:tr>
        <w:trPr>
          <w:cantSplit/>
        </w:trPr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24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08.04.2027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Фразеологизмы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Переносное значение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Объяснение по контексту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Наблюдение/задание</w:t>
            </w:r>
          </w:p>
        </w:tc>
      </w:tr>
      <w:tr>
        <w:trPr>
          <w:cantSplit/>
        </w:trPr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25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15.04.2027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Структура информационного текста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Заголовки, абзацы, подзаголовки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Навигация и выбор фрагмента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Наблюдение/задание</w:t>
            </w:r>
          </w:p>
        </w:tc>
      </w:tr>
      <w:tr>
        <w:trPr>
          <w:cantSplit/>
        </w:trPr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26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22.04.2027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Просмотровое чтение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Цель и границы применения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Определение темы и структуры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Наблюдение/задание</w:t>
            </w:r>
          </w:p>
        </w:tc>
      </w:tr>
      <w:tr>
        <w:trPr>
          <w:cantSplit/>
        </w:trPr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27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29.04.2027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Ознакомительное чтение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Цель ознакомительного чтения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Фиксация главной информации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Наблюдение/задание</w:t>
            </w:r>
          </w:p>
        </w:tc>
      </w:tr>
      <w:tr>
        <w:trPr>
          <w:cantSplit/>
        </w:trPr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28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13.05.2027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Комплексные задания к тексту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Алгоритм работы с заданием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Несколько заданий к одному тексту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Наблюдение/задание</w:t>
            </w:r>
          </w:p>
        </w:tc>
      </w:tr>
      <w:tr>
        <w:trPr>
          <w:cantSplit/>
        </w:trPr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29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20.05.2027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Самоконтроль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Проверка понимания и коррекция стратегии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Самооценка по критериям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Наблюдение/задание</w:t>
            </w:r>
          </w:p>
        </w:tc>
      </w:tr>
      <w:tr>
        <w:trPr>
          <w:cantSplit/>
        </w:trPr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30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27.05.2027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Итоговая диагностика и рефлексия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Сопоставление входного и итогового результата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Итоговый замер и рефлексия</w:t>
            </w:r>
          </w:p>
        </w:tc>
        <w:tc>
          <w:tcPr>
            <w:tcW w:type="dxa" w:w="1662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Диагностика</w:t>
            </w:r>
          </w:p>
        </w:tc>
      </w:tr>
    </w:tbl>
    <w:p>
      <w:pPr>
        <w:pStyle w:val="Heading1"/>
      </w:pPr>
      <w:r>
        <w:t>9. Планируемые результаты</w:t>
      </w:r>
    </w:p>
    <w:p>
      <w:pPr>
        <w:spacing w:line="240" w:lineRule="auto" w:after="60"/>
        <w:ind w:firstLine="709"/>
      </w:pPr>
      <w:r>
        <w:rPr>
          <w:rFonts w:ascii="Times New Roman" w:hAnsi="Times New Roman" w:eastAsia="Times New Roman"/>
          <w:b w:val="0"/>
          <w:sz w:val="24"/>
        </w:rPr>
        <w:t>Результаты оцениваются относительно индивидуального входного уровня. Программа не гарантирует одинакового для всех детей или кратного увеличения скорости чтения.</w:t>
      </w:r>
    </w:p>
    <w:p>
      <w:pPr>
        <w:pStyle w:val="ListBullet"/>
        <w:spacing w:after="40" w:line="240" w:lineRule="auto"/>
      </w:pPr>
      <w:r>
        <w:t>более уверенное и точное чтение возрастосообразных текстов относительно входного уровня;</w:t>
      </w:r>
    </w:p>
    <w:p>
      <w:pPr>
        <w:pStyle w:val="ListBullet"/>
        <w:spacing w:after="40" w:line="240" w:lineRule="auto"/>
      </w:pPr>
      <w:r>
        <w:t>сохранение или улучшение понимания при работе над темпом;</w:t>
      </w:r>
    </w:p>
    <w:p>
      <w:pPr>
        <w:pStyle w:val="ListBullet"/>
        <w:spacing w:after="40" w:line="240" w:lineRule="auto"/>
      </w:pPr>
      <w:r>
        <w:t>умение выделять тему, основную мысль и ключевые слова;</w:t>
      </w:r>
    </w:p>
    <w:p>
      <w:pPr>
        <w:pStyle w:val="ListBullet"/>
        <w:spacing w:after="40" w:line="240" w:lineRule="auto"/>
      </w:pPr>
      <w:r>
        <w:t>умение находить явную информацию и обосновывать ответ фрагментом текста;</w:t>
      </w:r>
    </w:p>
    <w:p>
      <w:pPr>
        <w:pStyle w:val="ListBullet"/>
        <w:spacing w:after="40" w:line="240" w:lineRule="auto"/>
      </w:pPr>
      <w:r>
        <w:t>умение составлять простой план, краткий и подробный пересказ;</w:t>
      </w:r>
    </w:p>
    <w:p>
      <w:pPr>
        <w:pStyle w:val="ListBullet"/>
        <w:spacing w:after="40" w:line="240" w:lineRule="auto"/>
      </w:pPr>
      <w:r>
        <w:t>использование приёмов зрительного поиска, смысловой группировки, ассоциаций и самоконтроля.</w:t>
      </w:r>
    </w:p>
    <w:p>
      <w:pPr>
        <w:pStyle w:val="Heading1"/>
      </w:pPr>
      <w:r>
        <w:t>10. Формы контроля</w:t>
      </w:r>
    </w:p>
    <w:p>
      <w:pPr>
        <w:pStyle w:val="ListBullet"/>
        <w:spacing w:after="40" w:line="240" w:lineRule="auto"/>
      </w:pPr>
      <w:r>
        <w:t>входная диагностика — занятие 1;</w:t>
      </w:r>
    </w:p>
    <w:p>
      <w:pPr>
        <w:pStyle w:val="ListBullet"/>
        <w:spacing w:after="40" w:line="240" w:lineRule="auto"/>
      </w:pPr>
      <w:r>
        <w:t>текущий контроль — наблюдение, устные ответы, практические задания;</w:t>
      </w:r>
    </w:p>
    <w:p>
      <w:pPr>
        <w:pStyle w:val="ListBullet"/>
        <w:spacing w:after="40" w:line="240" w:lineRule="auto"/>
      </w:pPr>
      <w:r>
        <w:t>промежуточная диагностика — занятие 16;</w:t>
      </w:r>
    </w:p>
    <w:p>
      <w:pPr>
        <w:pStyle w:val="ListBullet"/>
        <w:spacing w:after="40" w:line="240" w:lineRule="auto"/>
      </w:pPr>
      <w:r>
        <w:t>итоговая диагностика — занятие 30.</w:t>
      </w:r>
    </w:p>
    <w:p>
      <w:pPr>
        <w:spacing w:line="240" w:lineRule="auto" w:after="60"/>
        <w:ind w:firstLine="709"/>
      </w:pPr>
      <w:r>
        <w:rPr>
          <w:rFonts w:ascii="Times New Roman" w:hAnsi="Times New Roman" w:eastAsia="Times New Roman"/>
          <w:b w:val="0"/>
          <w:sz w:val="24"/>
        </w:rPr>
        <w:t>Специальная итоговая аттестация с выдачей документа об образовании не проводится. Результаты фиксируются в диагностическом листе педагога.</w:t>
      </w:r>
    </w:p>
    <w:p>
      <w:pPr>
        <w:pStyle w:val="Heading1"/>
      </w:pPr>
      <w:r>
        <w:t>11. Оценочные материалы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rPr>
          <w:tblHeader w:val="true"/>
        </w:trPr>
        <w:tc>
          <w:tcPr>
            <w:tcW w:type="dxa" w:w="2493"/>
            <w:vAlign w:val="center"/>
            <w:shd w:fill="D9E1F2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8"/>
              </w:rPr>
              <w:t>Показатель</w:t>
            </w:r>
          </w:p>
        </w:tc>
        <w:tc>
          <w:tcPr>
            <w:tcW w:type="dxa" w:w="2493"/>
            <w:vAlign w:val="center"/>
            <w:shd w:fill="D9E1F2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8"/>
              </w:rPr>
              <w:t>Способ оценки</w:t>
            </w:r>
          </w:p>
        </w:tc>
        <w:tc>
          <w:tcPr>
            <w:tcW w:type="dxa" w:w="2493"/>
            <w:vAlign w:val="center"/>
            <w:shd w:fill="D9E1F2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8"/>
              </w:rPr>
              <w:t>Критерий</w:t>
            </w:r>
          </w:p>
        </w:tc>
        <w:tc>
          <w:tcPr>
            <w:tcW w:type="dxa" w:w="2493"/>
            <w:vAlign w:val="center"/>
            <w:shd w:fill="D9E1F2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8"/>
              </w:rPr>
              <w:t>Интерпретация</w:t>
            </w:r>
          </w:p>
        </w:tc>
      </w:tr>
      <w:tr>
        <w:trPr>
          <w:cantSplit/>
        </w:trPr>
        <w:tc>
          <w:tcPr>
            <w:tcW w:type="dxa" w:w="2493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8"/>
              </w:rPr>
              <w:t>Темп чтения</w:t>
            </w:r>
          </w:p>
        </w:tc>
        <w:tc>
          <w:tcPr>
            <w:tcW w:type="dxa" w:w="2493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8"/>
              </w:rPr>
              <w:t>Чтение незнакомого текста</w:t>
            </w:r>
          </w:p>
        </w:tc>
        <w:tc>
          <w:tcPr>
            <w:tcW w:type="dxa" w:w="2493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8"/>
              </w:rPr>
              <w:t>слова в минуту</w:t>
            </w:r>
          </w:p>
        </w:tc>
        <w:tc>
          <w:tcPr>
            <w:tcW w:type="dxa" w:w="2493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8"/>
              </w:rPr>
              <w:t>Сравнение показателей одного ребёнка</w:t>
            </w:r>
          </w:p>
        </w:tc>
      </w:tr>
      <w:tr>
        <w:trPr>
          <w:cantSplit/>
        </w:trPr>
        <w:tc>
          <w:tcPr>
            <w:tcW w:type="dxa" w:w="2493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8"/>
              </w:rPr>
              <w:t>Правильность</w:t>
            </w:r>
          </w:p>
        </w:tc>
        <w:tc>
          <w:tcPr>
            <w:tcW w:type="dxa" w:w="2493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8"/>
              </w:rPr>
              <w:t>Фиксация ошибок</w:t>
            </w:r>
          </w:p>
        </w:tc>
        <w:tc>
          <w:tcPr>
            <w:tcW w:type="dxa" w:w="2493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8"/>
              </w:rPr>
              <w:t>количество ошибок на сопоставимом объёме</w:t>
            </w:r>
          </w:p>
        </w:tc>
        <w:tc>
          <w:tcPr>
            <w:tcW w:type="dxa" w:w="2493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8"/>
              </w:rPr>
              <w:t>Индивидуальная динамика</w:t>
            </w:r>
          </w:p>
        </w:tc>
      </w:tr>
      <w:tr>
        <w:trPr>
          <w:cantSplit/>
        </w:trPr>
        <w:tc>
          <w:tcPr>
            <w:tcW w:type="dxa" w:w="2493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8"/>
              </w:rPr>
              <w:t>Понимание</w:t>
            </w:r>
          </w:p>
        </w:tc>
        <w:tc>
          <w:tcPr>
            <w:tcW w:type="dxa" w:w="2493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8"/>
              </w:rPr>
              <w:t>5 вопросов к тексту</w:t>
            </w:r>
          </w:p>
        </w:tc>
        <w:tc>
          <w:tcPr>
            <w:tcW w:type="dxa" w:w="2493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8"/>
              </w:rPr>
              <w:t>0–5 правильных ответов</w:t>
            </w:r>
          </w:p>
        </w:tc>
        <w:tc>
          <w:tcPr>
            <w:tcW w:type="dxa" w:w="2493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8"/>
              </w:rPr>
              <w:t>Динамика понимания</w:t>
            </w:r>
          </w:p>
        </w:tc>
      </w:tr>
      <w:tr>
        <w:trPr>
          <w:cantSplit/>
        </w:trPr>
        <w:tc>
          <w:tcPr>
            <w:tcW w:type="dxa" w:w="2493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8"/>
              </w:rPr>
              <w:t>Смысловая обработка</w:t>
            </w:r>
          </w:p>
        </w:tc>
        <w:tc>
          <w:tcPr>
            <w:tcW w:type="dxa" w:w="2493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8"/>
              </w:rPr>
              <w:t>Ключевые слова, заголовок, план</w:t>
            </w:r>
          </w:p>
        </w:tc>
        <w:tc>
          <w:tcPr>
            <w:tcW w:type="dxa" w:w="2493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8"/>
              </w:rPr>
              <w:t>самостоятельно/с помощью/не выполнено</w:t>
            </w:r>
          </w:p>
        </w:tc>
        <w:tc>
          <w:tcPr>
            <w:tcW w:type="dxa" w:w="2493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8"/>
              </w:rPr>
              <w:t>Качественная динамика</w:t>
            </w:r>
          </w:p>
        </w:tc>
      </w:tr>
      <w:tr>
        <w:trPr>
          <w:cantSplit/>
        </w:trPr>
        <w:tc>
          <w:tcPr>
            <w:tcW w:type="dxa" w:w="2493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8"/>
              </w:rPr>
              <w:t>Пересказ</w:t>
            </w:r>
          </w:p>
        </w:tc>
        <w:tc>
          <w:tcPr>
            <w:tcW w:type="dxa" w:w="2493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8"/>
              </w:rPr>
              <w:t>Краткий пересказ</w:t>
            </w:r>
          </w:p>
        </w:tc>
        <w:tc>
          <w:tcPr>
            <w:tcW w:type="dxa" w:w="2493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8"/>
              </w:rPr>
              <w:t>главный смысл и последовательность</w:t>
            </w:r>
          </w:p>
        </w:tc>
        <w:tc>
          <w:tcPr>
            <w:tcW w:type="dxa" w:w="2493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18"/>
              </w:rPr>
              <w:t>Качественная динамика</w:t>
            </w:r>
          </w:p>
        </w:tc>
      </w:tr>
    </w:tbl>
    <w:p>
      <w:pPr>
        <w:pStyle w:val="Heading1"/>
      </w:pPr>
      <w:r>
        <w:t>12. Организационно-педагогические условия</w:t>
      </w:r>
    </w:p>
    <w:p>
      <w:pPr>
        <w:pStyle w:val="ListBullet"/>
        <w:spacing w:after="40" w:line="240" w:lineRule="auto"/>
      </w:pPr>
      <w:r>
        <w:t>группа детей 8–9 лет;</w:t>
      </w:r>
    </w:p>
    <w:p>
      <w:pPr>
        <w:pStyle w:val="ListBullet"/>
        <w:spacing w:after="40" w:line="240" w:lineRule="auto"/>
      </w:pPr>
      <w:r>
        <w:t>помещение соответствует применимым санитарным требованиям и требованиям безопасности;</w:t>
      </w:r>
    </w:p>
    <w:p>
      <w:pPr>
        <w:pStyle w:val="ListBullet"/>
        <w:spacing w:after="40" w:line="240" w:lineRule="auto"/>
      </w:pPr>
      <w:r>
        <w:t>сложность регулируется педагогом;</w:t>
      </w:r>
    </w:p>
    <w:p>
      <w:pPr>
        <w:pStyle w:val="ListBullet"/>
        <w:spacing w:after="40" w:line="240" w:lineRule="auto"/>
      </w:pPr>
      <w:r>
        <w:t>при использовании печатных и электронных материалов соблюдаются применимые гигиенические требования;</w:t>
      </w:r>
    </w:p>
    <w:p>
      <w:pPr>
        <w:pStyle w:val="ListBullet"/>
        <w:spacing w:after="40" w:line="240" w:lineRule="auto"/>
      </w:pPr>
      <w:r>
        <w:t>реализация очная, без сетевой формы и дистанционного обучения.</w:t>
      </w:r>
    </w:p>
    <w:p>
      <w:pPr>
        <w:pStyle w:val="Heading1"/>
      </w:pPr>
      <w:r>
        <w:t>13. Кадровое обеспечение</w:t>
      </w:r>
    </w:p>
    <w:p>
      <w:pPr>
        <w:spacing w:line="240" w:lineRule="auto" w:after="60"/>
        <w:ind w:firstLine="709"/>
      </w:pPr>
      <w:r>
        <w:rPr>
          <w:rFonts w:ascii="Times New Roman" w:hAnsi="Times New Roman" w:eastAsia="Times New Roman"/>
          <w:b w:val="0"/>
          <w:sz w:val="24"/>
        </w:rPr>
        <w:t>Педагог/автор-составитель: Бардаш И.В. Сведения об образовании и квалификации: ________________________________ (указать строго по документам педагога). К реализации допускается лицо, отвечающее требованиям статьи 46 Федерального закона № 273-ФЗ, пункта 20 приказа Минпросвещения России № 629 и применимым квалификационным требованиям.</w:t>
      </w:r>
    </w:p>
    <w:p>
      <w:pPr>
        <w:pStyle w:val="Heading1"/>
      </w:pPr>
      <w:r>
        <w:t>14. Материально-техническое обеспечение</w:t>
      </w:r>
    </w:p>
    <w:p>
      <w:pPr>
        <w:pStyle w:val="ListBullet"/>
        <w:spacing w:after="40" w:line="240" w:lineRule="auto"/>
      </w:pPr>
      <w:r>
        <w:t>учебный кабинет;</w:t>
      </w:r>
    </w:p>
    <w:p>
      <w:pPr>
        <w:pStyle w:val="ListBullet"/>
        <w:spacing w:after="40" w:line="240" w:lineRule="auto"/>
      </w:pPr>
      <w:r>
        <w:t>столы и стулья для детей 8–9 лет;</w:t>
      </w:r>
    </w:p>
    <w:p>
      <w:pPr>
        <w:pStyle w:val="ListBullet"/>
        <w:spacing w:after="40" w:line="240" w:lineRule="auto"/>
      </w:pPr>
      <w:r>
        <w:t>доска или иная поверхность для записей;</w:t>
      </w:r>
    </w:p>
    <w:p>
      <w:pPr>
        <w:pStyle w:val="ListBullet"/>
        <w:spacing w:after="40" w:line="240" w:lineRule="auto"/>
      </w:pPr>
      <w:r>
        <w:t>печатные тексты, карточки, таблицы Шульте, клиновидные таблицы, диагностические бланки, канцелярские принадлежности;</w:t>
      </w:r>
    </w:p>
    <w:p>
      <w:pPr>
        <w:pStyle w:val="ListBullet"/>
        <w:spacing w:after="40" w:line="240" w:lineRule="auto"/>
      </w:pPr>
      <w:r>
        <w:t>часы/таймер;</w:t>
      </w:r>
    </w:p>
    <w:p>
      <w:pPr>
        <w:pStyle w:val="ListBullet"/>
        <w:spacing w:after="40" w:line="240" w:lineRule="auto"/>
      </w:pPr>
      <w:r>
        <w:t>компьютер педагога — при наличии и необходимости; мультимедийный проектор не является обязательным условием.</w:t>
      </w:r>
    </w:p>
    <w:p>
      <w:pPr>
        <w:pStyle w:val="Heading1"/>
      </w:pPr>
      <w:r>
        <w:t>15. Информационно-методическое обеспечение</w:t>
      </w:r>
    </w:p>
    <w:p>
      <w:pPr>
        <w:pStyle w:val="ListBullet"/>
        <w:spacing w:after="40" w:line="240" w:lineRule="auto"/>
      </w:pPr>
      <w:r>
        <w:t>возрастосообразные художественные и информационные тексты;</w:t>
      </w:r>
    </w:p>
    <w:p>
      <w:pPr>
        <w:pStyle w:val="ListBullet"/>
        <w:spacing w:after="40" w:line="240" w:lineRule="auto"/>
      </w:pPr>
      <w:r>
        <w:t>карточки на внимание, словарную и смысловую работу;</w:t>
      </w:r>
    </w:p>
    <w:p>
      <w:pPr>
        <w:pStyle w:val="ListBullet"/>
        <w:spacing w:after="40" w:line="240" w:lineRule="auto"/>
      </w:pPr>
      <w:r>
        <w:t>диагностические листы;</w:t>
      </w:r>
    </w:p>
    <w:p>
      <w:pPr>
        <w:pStyle w:val="ListBullet"/>
        <w:spacing w:after="40" w:line="240" w:lineRule="auto"/>
      </w:pPr>
      <w:r>
        <w:t>таблицы для зрительного поиска;</w:t>
      </w:r>
    </w:p>
    <w:p>
      <w:pPr>
        <w:pStyle w:val="ListBullet"/>
        <w:spacing w:after="40" w:line="240" w:lineRule="auto"/>
      </w:pPr>
      <w:r>
        <w:t>методические разработки педагога.</w:t>
      </w:r>
    </w:p>
    <w:p>
      <w:pPr>
        <w:pStyle w:val="Heading1"/>
      </w:pPr>
      <w:r>
        <w:t>16. Литература</w:t>
      </w:r>
    </w:p>
    <w:p>
      <w:pPr>
        <w:pStyle w:val="ListNumber"/>
        <w:spacing w:after="40" w:line="240" w:lineRule="auto"/>
      </w:pPr>
      <w:r>
        <w:t>Абдулова Г. Скорочтение для детей: как читать быстрее, запоминать и понимать больше. — М., 2017.</w:t>
      </w:r>
    </w:p>
    <w:p>
      <w:pPr>
        <w:pStyle w:val="ListNumber"/>
        <w:spacing w:after="40" w:line="240" w:lineRule="auto"/>
      </w:pPr>
      <w:r>
        <w:t>Ахмадуллин Ш. Скорочтение для детей: как научить ребёнка читать и понимать прочитанное. — М.: Билингва, 2015.</w:t>
      </w:r>
    </w:p>
    <w:p>
      <w:pPr>
        <w:pStyle w:val="ListNumber"/>
        <w:spacing w:after="40" w:line="240" w:lineRule="auto"/>
      </w:pPr>
      <w:r>
        <w:t>Бугрименко Е.А., Цукерман Г.А. Чтение без принуждения. — М.: Творческая педагогика, 1993.</w:t>
      </w:r>
    </w:p>
    <w:p>
      <w:pPr>
        <w:pStyle w:val="ListNumber"/>
        <w:spacing w:after="40" w:line="240" w:lineRule="auto"/>
      </w:pPr>
      <w:r>
        <w:t>Зайцев В.Н. Резервы обучения чтению. — М.: Просвещение, 1991.</w:t>
      </w:r>
    </w:p>
    <w:p>
      <w:pPr>
        <w:pStyle w:val="ListNumber"/>
        <w:spacing w:after="40" w:line="240" w:lineRule="auto"/>
      </w:pPr>
      <w:r>
        <w:t>Зотов С.Г., Зотова М.А. Повышение скорости чтения. — Ростов-на-Дону: Феникс, 2018.</w:t>
      </w:r>
    </w:p>
    <w:p>
      <w:pPr>
        <w:pStyle w:val="ListNumber"/>
        <w:spacing w:after="40" w:line="240" w:lineRule="auto"/>
      </w:pPr>
      <w:r>
        <w:t>Узорова О.В., Нефёдова Е.А. Быстрое обучение чтению. — М.: Астрель, 2002.</w:t>
      </w:r>
    </w:p>
    <w:sectPr w:rsidR="00FC693F" w:rsidRPr="0006063C" w:rsidSect="00034616">
      <w:footerReference w:type="default" r:id="rId9"/>
      <w:pgSz w:w="12240" w:h="15840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 xml:space="preserve">Стр.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40" w:lineRule="auto" w:after="8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4F81BD" w:themeColor="accent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 w:eastAsia="Times New Roman"/>
      <w:b/>
      <w:color w:val="17365D" w:themeColor="text2" w:themeShade="BF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